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22C9C">
      <w:pPr>
        <w:pStyle w:val="Kop4"/>
        <w:rPr>
          <w:rFonts w:ascii="Verdana" w:eastAsia="Times New Roman" w:hAnsi="Verdana"/>
          <w:color w:val="000000"/>
        </w:rPr>
      </w:pPr>
      <w:r>
        <w:rPr>
          <w:rFonts w:ascii="Verdana" w:eastAsia="Times New Roman" w:hAnsi="Verdana"/>
          <w:color w:val="000000"/>
        </w:rPr>
        <w:t xml:space="preserve">Nieuwe wettelijke verplichtingen voor betere </w:t>
      </w:r>
      <w:proofErr w:type="spellStart"/>
      <w:r>
        <w:rPr>
          <w:rFonts w:ascii="Verdana" w:eastAsia="Times New Roman" w:hAnsi="Verdana"/>
          <w:color w:val="000000"/>
        </w:rPr>
        <w:t>binnenluchtkwaliteit</w:t>
      </w:r>
      <w:proofErr w:type="spellEnd"/>
      <w:r>
        <w:rPr>
          <w:rFonts w:ascii="Verdana" w:eastAsia="Times New Roman" w:hAnsi="Verdana"/>
          <w:color w:val="000000"/>
        </w:rPr>
        <w:t xml:space="preserve"> in gesloten, publiek toegankelijke plaatsen</w:t>
      </w:r>
    </w:p>
    <w:p w:rsidR="00000000" w:rsidRDefault="00022C9C">
      <w:pPr>
        <w:divId w:val="399257883"/>
        <w:rPr>
          <w:rFonts w:ascii="Verdana" w:eastAsia="Times New Roman" w:hAnsi="Verdana"/>
          <w:color w:val="000000"/>
          <w:sz w:val="18"/>
          <w:szCs w:val="18"/>
        </w:rPr>
      </w:pPr>
      <w:r>
        <w:rPr>
          <w:rFonts w:ascii="Verdana" w:eastAsia="Times New Roman" w:hAnsi="Verdana"/>
          <w:color w:val="000000"/>
          <w:sz w:val="18"/>
          <w:szCs w:val="18"/>
        </w:rPr>
        <w:t>Nieuws - 06/12/2022</w:t>
      </w:r>
    </w:p>
    <w:p w:rsidR="00000000" w:rsidRDefault="00022C9C">
      <w:pPr>
        <w:divId w:val="1778867035"/>
        <w:rPr>
          <w:rFonts w:ascii="Verdana" w:eastAsia="Times New Roman" w:hAnsi="Verdana"/>
          <w:color w:val="000000"/>
          <w:sz w:val="18"/>
          <w:szCs w:val="18"/>
        </w:rPr>
      </w:pPr>
      <w:r>
        <w:rPr>
          <w:rFonts w:ascii="Verdana" w:eastAsia="Times New Roman" w:hAnsi="Verdana"/>
          <w:color w:val="000000"/>
          <w:sz w:val="18"/>
          <w:szCs w:val="18"/>
        </w:rPr>
        <w:t>-</w:t>
      </w:r>
    </w:p>
    <w:p w:rsidR="00000000" w:rsidRDefault="00022C9C">
      <w:pPr>
        <w:divId w:val="1739934544"/>
        <w:rPr>
          <w:rFonts w:ascii="Verdana" w:eastAsia="Times New Roman" w:hAnsi="Verdana"/>
          <w:color w:val="000000"/>
          <w:sz w:val="18"/>
          <w:szCs w:val="18"/>
        </w:rPr>
      </w:pPr>
      <w:r>
        <w:rPr>
          <w:rFonts w:ascii="Verdana" w:eastAsia="Times New Roman" w:hAnsi="Verdana"/>
          <w:b/>
          <w:bCs/>
          <w:color w:val="000000"/>
          <w:sz w:val="18"/>
          <w:szCs w:val="18"/>
        </w:rPr>
        <w:t xml:space="preserve">De coronapandemie heeft nogmaals pijnlijk aangetoond wat al langer gedocumenteerd en erkend is door de </w:t>
      </w:r>
      <w:r>
        <w:rPr>
          <w:rFonts w:ascii="Verdana" w:eastAsia="Times New Roman" w:hAnsi="Verdana"/>
          <w:b/>
          <w:bCs/>
          <w:color w:val="000000"/>
          <w:sz w:val="18"/>
          <w:szCs w:val="18"/>
        </w:rPr>
        <w:t xml:space="preserve">Hoge Gezondheidsraad: gezonde </w:t>
      </w:r>
      <w:proofErr w:type="spellStart"/>
      <w:r>
        <w:rPr>
          <w:rFonts w:ascii="Verdana" w:eastAsia="Times New Roman" w:hAnsi="Verdana"/>
          <w:b/>
          <w:bCs/>
          <w:color w:val="000000"/>
          <w:sz w:val="18"/>
          <w:szCs w:val="18"/>
        </w:rPr>
        <w:t>binnenlucht</w:t>
      </w:r>
      <w:proofErr w:type="spellEnd"/>
      <w:r>
        <w:rPr>
          <w:rFonts w:ascii="Verdana" w:eastAsia="Times New Roman" w:hAnsi="Verdana"/>
          <w:b/>
          <w:bCs/>
          <w:color w:val="000000"/>
          <w:sz w:val="18"/>
          <w:szCs w:val="18"/>
        </w:rPr>
        <w:t xml:space="preserve"> is van groot belang voor de algemene volksgezondheid en zeker voor de gezondheid van kwetsbare groepen. De federale wetgever komt daarom met een aantal nieuwe, algemene regels die de </w:t>
      </w:r>
      <w:proofErr w:type="spellStart"/>
      <w:r>
        <w:rPr>
          <w:rFonts w:ascii="Verdana" w:eastAsia="Times New Roman" w:hAnsi="Verdana"/>
          <w:b/>
          <w:bCs/>
          <w:color w:val="000000"/>
          <w:sz w:val="18"/>
          <w:szCs w:val="18"/>
        </w:rPr>
        <w:t>binnenluchtkwaliteit</w:t>
      </w:r>
      <w:proofErr w:type="spellEnd"/>
      <w:r>
        <w:rPr>
          <w:rFonts w:ascii="Verdana" w:eastAsia="Times New Roman" w:hAnsi="Verdana"/>
          <w:b/>
          <w:bCs/>
          <w:color w:val="000000"/>
          <w:sz w:val="18"/>
          <w:szCs w:val="18"/>
        </w:rPr>
        <w:t xml:space="preserve"> in geslote</w:t>
      </w:r>
      <w:r>
        <w:rPr>
          <w:rFonts w:ascii="Verdana" w:eastAsia="Times New Roman" w:hAnsi="Verdana"/>
          <w:b/>
          <w:bCs/>
          <w:color w:val="000000"/>
          <w:sz w:val="18"/>
          <w:szCs w:val="18"/>
        </w:rPr>
        <w:t>n, publiek toegankelijke plaatsen moet verbeteren. Aan uitbaters en eigenaars worden een aantal verplichtingen opgelegd zoals het gebruik van een luchtkwaliteitsmeter, de opmaak van een risicoanalyse en certificering. In geval van schendingen zijn administ</w:t>
      </w:r>
      <w:r>
        <w:rPr>
          <w:rFonts w:ascii="Verdana" w:eastAsia="Times New Roman" w:hAnsi="Verdana"/>
          <w:b/>
          <w:bCs/>
          <w:color w:val="000000"/>
          <w:sz w:val="18"/>
          <w:szCs w:val="18"/>
        </w:rPr>
        <w:t xml:space="preserve">ratieve en </w:t>
      </w:r>
      <w:proofErr w:type="spellStart"/>
      <w:r>
        <w:rPr>
          <w:rFonts w:ascii="Verdana" w:eastAsia="Times New Roman" w:hAnsi="Verdana"/>
          <w:b/>
          <w:bCs/>
          <w:color w:val="000000"/>
          <w:sz w:val="18"/>
          <w:szCs w:val="18"/>
        </w:rPr>
        <w:t>strafrechterlijke</w:t>
      </w:r>
      <w:proofErr w:type="spellEnd"/>
      <w:r>
        <w:rPr>
          <w:rFonts w:ascii="Verdana" w:eastAsia="Times New Roman" w:hAnsi="Verdana"/>
          <w:b/>
          <w:bCs/>
          <w:color w:val="000000"/>
          <w:sz w:val="18"/>
          <w:szCs w:val="18"/>
        </w:rPr>
        <w:t xml:space="preserve"> boetes voorzien.</w:t>
      </w:r>
      <w:r>
        <w:rPr>
          <w:rFonts w:ascii="Verdana" w:eastAsia="Times New Roman" w:hAnsi="Verdana"/>
          <w:color w:val="000000"/>
          <w:sz w:val="18"/>
          <w:szCs w:val="18"/>
        </w:rPr>
        <w:t xml:space="preserve"> </w:t>
      </w:r>
    </w:p>
    <w:p w:rsidR="00000000" w:rsidRDefault="00022C9C">
      <w:pPr>
        <w:divId w:val="602736043"/>
        <w:rPr>
          <w:rFonts w:ascii="Verdana" w:eastAsia="Times New Roman" w:hAnsi="Verdana"/>
          <w:color w:val="000000"/>
          <w:sz w:val="18"/>
          <w:szCs w:val="18"/>
        </w:rPr>
      </w:pPr>
      <w:r>
        <w:rPr>
          <w:rFonts w:ascii="Verdana" w:eastAsia="Times New Roman" w:hAnsi="Verdana"/>
          <w:color w:val="000000"/>
          <w:sz w:val="18"/>
          <w:szCs w:val="18"/>
        </w:rPr>
        <w:t>De regeling is voorwerp van een gloednieuwe ‘</w:t>
      </w:r>
      <w:proofErr w:type="spellStart"/>
      <w:r>
        <w:rPr>
          <w:rFonts w:ascii="Verdana" w:eastAsia="Times New Roman" w:hAnsi="Verdana"/>
          <w:color w:val="000000"/>
          <w:sz w:val="18"/>
          <w:szCs w:val="18"/>
        </w:rPr>
        <w:t>Binnenluchtkwaliteitswet</w:t>
      </w:r>
      <w:proofErr w:type="spellEnd"/>
      <w:r>
        <w:rPr>
          <w:rFonts w:ascii="Verdana" w:eastAsia="Times New Roman" w:hAnsi="Verdana"/>
          <w:color w:val="000000"/>
          <w:sz w:val="18"/>
          <w:szCs w:val="18"/>
        </w:rPr>
        <w:t xml:space="preserve">’ van 6 november 2022. </w:t>
      </w:r>
      <w:r w:rsidRPr="00502DFD">
        <w:rPr>
          <w:rFonts w:ascii="Verdana" w:eastAsia="Times New Roman" w:hAnsi="Verdana"/>
          <w:color w:val="000000"/>
          <w:sz w:val="18"/>
          <w:szCs w:val="18"/>
          <w:highlight w:val="yellow"/>
        </w:rPr>
        <w:t>Maar voor de toepassing van de bepalingen zijn nog uitvoeringsbepalingen nodig. Zo moet een KB nog verduidelijken wel</w:t>
      </w:r>
      <w:r w:rsidRPr="00502DFD">
        <w:rPr>
          <w:rFonts w:ascii="Verdana" w:eastAsia="Times New Roman" w:hAnsi="Verdana"/>
          <w:color w:val="000000"/>
          <w:sz w:val="18"/>
          <w:szCs w:val="18"/>
          <w:highlight w:val="yellow"/>
        </w:rPr>
        <w:t>ke gesloten, publiek toegankelijke plaatsen precies aan de verplichtingen uit de wet onderworpen zijn. En ontbreken er nog voorwaarden voor een correct gebruik van de verplichte luchtkwaliteitsmeters, de inhoud en modaliteiten van de risicoanalyse, eventue</w:t>
      </w:r>
      <w:r w:rsidRPr="00502DFD">
        <w:rPr>
          <w:rFonts w:ascii="Verdana" w:eastAsia="Times New Roman" w:hAnsi="Verdana"/>
          <w:color w:val="000000"/>
          <w:sz w:val="18"/>
          <w:szCs w:val="18"/>
          <w:highlight w:val="yellow"/>
        </w:rPr>
        <w:t>le uitzonderingen, enz.</w:t>
      </w:r>
    </w:p>
    <w:p w:rsidR="00000000" w:rsidRDefault="00022C9C">
      <w:pPr>
        <w:pStyle w:val="Kop5"/>
        <w:divId w:val="1226572892"/>
        <w:rPr>
          <w:rFonts w:ascii="Verdana" w:eastAsia="Times New Roman" w:hAnsi="Verdana"/>
          <w:color w:val="000000"/>
        </w:rPr>
      </w:pPr>
      <w:r>
        <w:rPr>
          <w:rFonts w:ascii="Verdana" w:eastAsia="Times New Roman" w:hAnsi="Verdana"/>
          <w:color w:val="000000"/>
        </w:rPr>
        <w:t>Verplichtingen voor gesloten, publiek toegankelijke plaatsen</w:t>
      </w:r>
    </w:p>
    <w:p w:rsidR="00000000" w:rsidRDefault="00022C9C">
      <w:pPr>
        <w:divId w:val="514150882"/>
        <w:rPr>
          <w:rFonts w:ascii="Verdana" w:eastAsia="Times New Roman" w:hAnsi="Verdana"/>
          <w:color w:val="000000"/>
          <w:sz w:val="18"/>
          <w:szCs w:val="18"/>
        </w:rPr>
      </w:pPr>
      <w:r>
        <w:rPr>
          <w:rFonts w:ascii="Verdana" w:eastAsia="Times New Roman" w:hAnsi="Verdana"/>
          <w:color w:val="000000"/>
          <w:sz w:val="18"/>
          <w:szCs w:val="18"/>
        </w:rPr>
        <w:t>De wet bevat alleen de algemene basisprincipes die voortaan gelden voor alle gesloten, publiek toegankelijke plaatsen. Zo moet voor iedere plaats aan al onderstaande verpl</w:t>
      </w:r>
      <w:r>
        <w:rPr>
          <w:rFonts w:ascii="Verdana" w:eastAsia="Times New Roman" w:hAnsi="Verdana"/>
          <w:color w:val="000000"/>
          <w:sz w:val="18"/>
          <w:szCs w:val="18"/>
        </w:rPr>
        <w:t>ichtingen worden voldaan:</w:t>
      </w:r>
    </w:p>
    <w:tbl>
      <w:tblPr>
        <w:tblW w:w="0" w:type="auto"/>
        <w:tblCellSpacing w:w="15" w:type="dxa"/>
        <w:tblLook w:val="04A0" w:firstRow="1" w:lastRow="0" w:firstColumn="1" w:lastColumn="0" w:noHBand="0" w:noVBand="1"/>
      </w:tblPr>
      <w:tblGrid>
        <w:gridCol w:w="174"/>
        <w:gridCol w:w="8898"/>
      </w:tblGrid>
      <w:tr w:rsidR="00000000">
        <w:trPr>
          <w:divId w:val="1974364170"/>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1550535945"/>
              <w:rPr>
                <w:rFonts w:ascii="Verdana" w:eastAsia="Times New Roman" w:hAnsi="Verdana"/>
                <w:color w:val="000000"/>
                <w:sz w:val="18"/>
                <w:szCs w:val="18"/>
              </w:rPr>
            </w:pPr>
            <w:r>
              <w:rPr>
                <w:rFonts w:ascii="Verdana" w:eastAsia="Times New Roman" w:hAnsi="Verdana"/>
                <w:color w:val="000000"/>
                <w:sz w:val="18"/>
                <w:szCs w:val="18"/>
              </w:rPr>
              <w:t>het gebruik van een luchtkwaliteitsmeter;</w:t>
            </w:r>
          </w:p>
        </w:tc>
      </w:tr>
      <w:tr w:rsidR="00000000">
        <w:trPr>
          <w:divId w:val="1974364170"/>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1862157920"/>
              <w:rPr>
                <w:rFonts w:ascii="Verdana" w:eastAsia="Times New Roman" w:hAnsi="Verdana"/>
                <w:color w:val="000000"/>
                <w:sz w:val="18"/>
                <w:szCs w:val="18"/>
              </w:rPr>
            </w:pPr>
            <w:r>
              <w:rPr>
                <w:rFonts w:ascii="Verdana" w:eastAsia="Times New Roman" w:hAnsi="Verdana"/>
                <w:color w:val="000000"/>
                <w:sz w:val="18"/>
                <w:szCs w:val="18"/>
              </w:rPr>
              <w:t>het uitwerken en beschikbaar houden van een risicoanalyse;</w:t>
            </w:r>
          </w:p>
        </w:tc>
      </w:tr>
      <w:tr w:rsidR="00000000">
        <w:trPr>
          <w:divId w:val="1974364170"/>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1791313917"/>
              <w:rPr>
                <w:rFonts w:ascii="Verdana" w:eastAsia="Times New Roman" w:hAnsi="Verdana"/>
                <w:color w:val="000000"/>
                <w:sz w:val="18"/>
                <w:szCs w:val="18"/>
              </w:rPr>
            </w:pPr>
            <w:r>
              <w:rPr>
                <w:rFonts w:ascii="Verdana" w:eastAsia="Times New Roman" w:hAnsi="Verdana"/>
                <w:color w:val="000000"/>
                <w:sz w:val="18"/>
                <w:szCs w:val="18"/>
              </w:rPr>
              <w:t>het uitwerken en beschikbaar houden van een actieplan indien de risicoanalyse de noodzaak tot actie of tot corrigerende a</w:t>
            </w:r>
            <w:r>
              <w:rPr>
                <w:rFonts w:ascii="Verdana" w:eastAsia="Times New Roman" w:hAnsi="Verdana"/>
                <w:color w:val="000000"/>
                <w:sz w:val="18"/>
                <w:szCs w:val="18"/>
              </w:rPr>
              <w:t>cties aan het licht brengt;</w:t>
            </w:r>
          </w:p>
        </w:tc>
      </w:tr>
      <w:tr w:rsidR="00000000">
        <w:trPr>
          <w:divId w:val="1974364170"/>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1551309014"/>
              <w:rPr>
                <w:rFonts w:ascii="Verdana" w:eastAsia="Times New Roman" w:hAnsi="Verdana"/>
                <w:color w:val="000000"/>
                <w:sz w:val="18"/>
                <w:szCs w:val="18"/>
              </w:rPr>
            </w:pPr>
            <w:r>
              <w:rPr>
                <w:rFonts w:ascii="Verdana" w:eastAsia="Times New Roman" w:hAnsi="Verdana"/>
                <w:color w:val="000000"/>
                <w:sz w:val="18"/>
                <w:szCs w:val="18"/>
              </w:rPr>
              <w:t>het aanvragen van een certificatie;</w:t>
            </w:r>
          </w:p>
        </w:tc>
      </w:tr>
      <w:tr w:rsidR="00000000">
        <w:trPr>
          <w:divId w:val="1974364170"/>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1676490899"/>
              <w:rPr>
                <w:rFonts w:ascii="Verdana" w:eastAsia="Times New Roman" w:hAnsi="Verdana"/>
                <w:color w:val="000000"/>
                <w:sz w:val="18"/>
                <w:szCs w:val="18"/>
              </w:rPr>
            </w:pPr>
            <w:r>
              <w:rPr>
                <w:rFonts w:ascii="Verdana" w:eastAsia="Times New Roman" w:hAnsi="Verdana"/>
                <w:color w:val="000000"/>
                <w:sz w:val="18"/>
                <w:szCs w:val="18"/>
              </w:rPr>
              <w:t>het beschikbaar en kenbaar maken van het label door aanplakking of elk ander middel zodra de certificering is bekomen;</w:t>
            </w:r>
          </w:p>
        </w:tc>
      </w:tr>
      <w:tr w:rsidR="00000000">
        <w:trPr>
          <w:divId w:val="1974364170"/>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2044674245"/>
              <w:rPr>
                <w:rFonts w:ascii="Verdana" w:eastAsia="Times New Roman" w:hAnsi="Verdana"/>
                <w:color w:val="000000"/>
                <w:sz w:val="18"/>
                <w:szCs w:val="18"/>
              </w:rPr>
            </w:pPr>
            <w:r>
              <w:rPr>
                <w:rFonts w:ascii="Verdana" w:eastAsia="Times New Roman" w:hAnsi="Verdana"/>
                <w:color w:val="000000"/>
                <w:sz w:val="18"/>
                <w:szCs w:val="18"/>
              </w:rPr>
              <w:t xml:space="preserve">de gesloten plaats die </w:t>
            </w:r>
            <w:r>
              <w:rPr>
                <w:rFonts w:ascii="Verdana" w:eastAsia="Times New Roman" w:hAnsi="Verdana"/>
                <w:color w:val="000000"/>
                <w:sz w:val="18"/>
                <w:szCs w:val="18"/>
              </w:rPr>
              <w:t>publiek toegankelijk is, uitbaten met dezelfde of minstens gelijkwaardige toestellen en een gelijkaardig gebruik als op het moment van het behalen van het label, rekening houdend met de aard van de activiteit die plaatsvindt in een gesloten plaats die publ</w:t>
            </w:r>
            <w:r>
              <w:rPr>
                <w:rFonts w:ascii="Verdana" w:eastAsia="Times New Roman" w:hAnsi="Verdana"/>
                <w:color w:val="000000"/>
                <w:sz w:val="18"/>
                <w:szCs w:val="18"/>
              </w:rPr>
              <w:t>iek toegankelijk is.</w:t>
            </w:r>
          </w:p>
        </w:tc>
      </w:tr>
    </w:tbl>
    <w:p w:rsidR="00000000" w:rsidRDefault="00022C9C">
      <w:pPr>
        <w:divId w:val="1636132341"/>
        <w:rPr>
          <w:rFonts w:ascii="Verdana" w:eastAsia="Times New Roman" w:hAnsi="Verdana"/>
          <w:color w:val="000000"/>
          <w:sz w:val="18"/>
          <w:szCs w:val="18"/>
        </w:rPr>
      </w:pPr>
      <w:r w:rsidRPr="00502DFD">
        <w:rPr>
          <w:rFonts w:ascii="Verdana" w:eastAsia="Times New Roman" w:hAnsi="Verdana"/>
          <w:color w:val="000000"/>
          <w:sz w:val="18"/>
          <w:szCs w:val="18"/>
          <w:highlight w:val="green"/>
        </w:rPr>
        <w:t>Maar zoals aangegeven is nu nog niet duidelijk voor welke gesloten, publiek toegankelijke plaatsen deze verplichtingen precies zullen gelden en wat de vereisten precies inhouden.</w:t>
      </w:r>
    </w:p>
    <w:p w:rsidR="00000000" w:rsidRDefault="00022C9C">
      <w:pPr>
        <w:pStyle w:val="Kop5"/>
        <w:divId w:val="625892642"/>
        <w:rPr>
          <w:rFonts w:ascii="Verdana" w:eastAsia="Times New Roman" w:hAnsi="Verdana"/>
          <w:color w:val="000000"/>
        </w:rPr>
      </w:pPr>
      <w:r>
        <w:rPr>
          <w:rFonts w:ascii="Verdana" w:eastAsia="Times New Roman" w:hAnsi="Verdana"/>
          <w:color w:val="000000"/>
        </w:rPr>
        <w:t xml:space="preserve">Referentieniveaus voor </w:t>
      </w:r>
      <w:proofErr w:type="spellStart"/>
      <w:r>
        <w:rPr>
          <w:rFonts w:ascii="Verdana" w:eastAsia="Times New Roman" w:hAnsi="Verdana"/>
          <w:color w:val="000000"/>
        </w:rPr>
        <w:t>binnenluchtkwaliteit</w:t>
      </w:r>
      <w:proofErr w:type="spellEnd"/>
    </w:p>
    <w:p w:rsidR="00000000" w:rsidRDefault="00022C9C">
      <w:pPr>
        <w:divId w:val="1442139635"/>
        <w:rPr>
          <w:rFonts w:ascii="Verdana" w:eastAsia="Times New Roman" w:hAnsi="Verdana"/>
          <w:color w:val="000000"/>
          <w:sz w:val="18"/>
          <w:szCs w:val="18"/>
        </w:rPr>
      </w:pPr>
      <w:r>
        <w:rPr>
          <w:rFonts w:ascii="Verdana" w:eastAsia="Times New Roman" w:hAnsi="Verdana"/>
          <w:color w:val="000000"/>
          <w:sz w:val="18"/>
          <w:szCs w:val="18"/>
        </w:rPr>
        <w:t>De wet beva</w:t>
      </w:r>
      <w:r>
        <w:rPr>
          <w:rFonts w:ascii="Verdana" w:eastAsia="Times New Roman" w:hAnsi="Verdana"/>
          <w:color w:val="000000"/>
          <w:sz w:val="18"/>
          <w:szCs w:val="18"/>
        </w:rPr>
        <w:t xml:space="preserve">t wel al de referentieniveaus (of ‘goede waarden waarnaar moet worden gestreefd’) voor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w:t>
      </w:r>
    </w:p>
    <w:tbl>
      <w:tblPr>
        <w:tblW w:w="0" w:type="auto"/>
        <w:tblCellSpacing w:w="15" w:type="dxa"/>
        <w:tblLook w:val="04A0" w:firstRow="1" w:lastRow="0" w:firstColumn="1" w:lastColumn="0" w:noHBand="0" w:noVBand="1"/>
      </w:tblPr>
      <w:tblGrid>
        <w:gridCol w:w="174"/>
        <w:gridCol w:w="8898"/>
      </w:tblGrid>
      <w:tr w:rsidR="00000000">
        <w:trPr>
          <w:divId w:val="324942092"/>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96681679"/>
              <w:rPr>
                <w:rFonts w:ascii="Verdana" w:eastAsia="Times New Roman" w:hAnsi="Verdana"/>
                <w:color w:val="000000"/>
                <w:sz w:val="18"/>
                <w:szCs w:val="18"/>
              </w:rPr>
            </w:pPr>
            <w:r>
              <w:rPr>
                <w:rFonts w:ascii="Verdana" w:eastAsia="Times New Roman" w:hAnsi="Verdana"/>
                <w:color w:val="000000"/>
                <w:sz w:val="18"/>
                <w:szCs w:val="18"/>
              </w:rPr>
              <w:t>referentieniveau A komt overeen met een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-concentratie in de plaatsen die gewoonlijk lager is dan 900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of een minimum de</w:t>
            </w:r>
            <w:bookmarkStart w:id="0" w:name="_GoBack"/>
            <w:bookmarkEnd w:id="0"/>
            <w:r>
              <w:rPr>
                <w:rFonts w:ascii="Verdana" w:eastAsia="Times New Roman" w:hAnsi="Verdana"/>
                <w:color w:val="000000"/>
                <w:sz w:val="18"/>
                <w:szCs w:val="18"/>
              </w:rPr>
              <w:t xml:space="preserve">biet aan ventilatie </w:t>
            </w:r>
            <w:r>
              <w:rPr>
                <w:rFonts w:ascii="Verdana" w:eastAsia="Times New Roman" w:hAnsi="Verdana"/>
                <w:color w:val="000000"/>
                <w:sz w:val="18"/>
                <w:szCs w:val="18"/>
              </w:rPr>
              <w:t>en luchtzuivering, van 40 m</w:t>
            </w:r>
            <w:r>
              <w:rPr>
                <w:rFonts w:ascii="Verdana" w:eastAsia="Times New Roman" w:hAnsi="Verdana"/>
                <w:color w:val="000000"/>
                <w:sz w:val="18"/>
                <w:szCs w:val="18"/>
                <w:vertAlign w:val="superscript"/>
              </w:rPr>
              <w:t>3</w:t>
            </w:r>
            <w:r>
              <w:rPr>
                <w:rFonts w:ascii="Verdana" w:eastAsia="Times New Roman" w:hAnsi="Verdana"/>
                <w:color w:val="000000"/>
                <w:sz w:val="18"/>
                <w:szCs w:val="18"/>
              </w:rPr>
              <w:t xml:space="preserve"> per uur en per persoon waarvan minstens 25 m</w:t>
            </w:r>
            <w:r>
              <w:rPr>
                <w:rFonts w:ascii="Verdana" w:eastAsia="Times New Roman" w:hAnsi="Verdana"/>
                <w:color w:val="000000"/>
                <w:sz w:val="18"/>
                <w:szCs w:val="18"/>
                <w:vertAlign w:val="superscript"/>
              </w:rPr>
              <w:t>3</w:t>
            </w:r>
            <w:r>
              <w:rPr>
                <w:rFonts w:ascii="Verdana" w:eastAsia="Times New Roman" w:hAnsi="Verdana"/>
                <w:color w:val="000000"/>
                <w:sz w:val="18"/>
                <w:szCs w:val="18"/>
              </w:rPr>
              <w:t xml:space="preserve"> per uur en per persoon aan ventilatie met buitenlucht.</w:t>
            </w:r>
          </w:p>
        </w:tc>
      </w:tr>
      <w:tr w:rsidR="00000000">
        <w:trPr>
          <w:divId w:val="324942092"/>
          <w:tblCellSpacing w:w="15" w:type="dxa"/>
        </w:trPr>
        <w:tc>
          <w:tcPr>
            <w:tcW w:w="0" w:type="auto"/>
            <w:tcMar>
              <w:top w:w="15" w:type="dxa"/>
              <w:left w:w="15" w:type="dxa"/>
              <w:bottom w:w="15" w:type="dxa"/>
              <w:right w:w="15" w:type="dxa"/>
            </w:tcMar>
            <w:hideMark/>
          </w:tcPr>
          <w:p w:rsidR="00000000" w:rsidRDefault="00022C9C">
            <w:pPr>
              <w:rPr>
                <w:rFonts w:ascii="Verdana" w:eastAsia="Times New Roman" w:hAnsi="Verdana"/>
                <w:color w:val="000000"/>
                <w:sz w:val="18"/>
                <w:szCs w:val="18"/>
              </w:rPr>
            </w:pPr>
            <w:r>
              <w:rPr>
                <w:rFonts w:ascii="Verdana" w:eastAsia="Times New Roman" w:hAnsi="Verdana"/>
                <w:color w:val="000000"/>
                <w:sz w:val="18"/>
                <w:szCs w:val="18"/>
              </w:rPr>
              <w:t>•</w:t>
            </w:r>
          </w:p>
        </w:tc>
        <w:tc>
          <w:tcPr>
            <w:tcW w:w="0" w:type="auto"/>
            <w:tcMar>
              <w:top w:w="15" w:type="dxa"/>
              <w:left w:w="15" w:type="dxa"/>
              <w:bottom w:w="15" w:type="dxa"/>
              <w:right w:w="15" w:type="dxa"/>
            </w:tcMar>
            <w:vAlign w:val="center"/>
            <w:hideMark/>
          </w:tcPr>
          <w:p w:rsidR="00000000" w:rsidRDefault="00022C9C">
            <w:pPr>
              <w:divId w:val="563025928"/>
              <w:rPr>
                <w:rFonts w:ascii="Verdana" w:eastAsia="Times New Roman" w:hAnsi="Verdana"/>
                <w:color w:val="000000"/>
                <w:sz w:val="18"/>
                <w:szCs w:val="18"/>
              </w:rPr>
            </w:pPr>
            <w:r>
              <w:rPr>
                <w:rFonts w:ascii="Verdana" w:eastAsia="Times New Roman" w:hAnsi="Verdana"/>
                <w:color w:val="000000"/>
                <w:sz w:val="18"/>
                <w:szCs w:val="18"/>
              </w:rPr>
              <w:t>referentieniveau B komt overeen met een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-concentratie in de plaatsen die gewoonlijk lager is dan 1200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of een minimum</w:t>
            </w:r>
            <w:r>
              <w:rPr>
                <w:rFonts w:ascii="Verdana" w:eastAsia="Times New Roman" w:hAnsi="Verdana"/>
                <w:color w:val="000000"/>
                <w:sz w:val="18"/>
                <w:szCs w:val="18"/>
              </w:rPr>
              <w:t xml:space="preserve"> debiet aan ventilatie met buitenlucht van 25 m</w:t>
            </w:r>
            <w:r>
              <w:rPr>
                <w:rFonts w:ascii="Verdana" w:eastAsia="Times New Roman" w:hAnsi="Verdana"/>
                <w:color w:val="000000"/>
                <w:sz w:val="18"/>
                <w:szCs w:val="18"/>
                <w:vertAlign w:val="superscript"/>
              </w:rPr>
              <w:t>3</w:t>
            </w:r>
            <w:r>
              <w:rPr>
                <w:rFonts w:ascii="Verdana" w:eastAsia="Times New Roman" w:hAnsi="Verdana"/>
                <w:color w:val="000000"/>
                <w:sz w:val="18"/>
                <w:szCs w:val="18"/>
              </w:rPr>
              <w:t xml:space="preserve"> per uur en per persoon.</w:t>
            </w:r>
          </w:p>
        </w:tc>
      </w:tr>
    </w:tbl>
    <w:p w:rsidR="00000000" w:rsidRDefault="00022C9C">
      <w:pPr>
        <w:divId w:val="268510715"/>
        <w:rPr>
          <w:rFonts w:ascii="Verdana" w:eastAsia="Times New Roman" w:hAnsi="Verdana"/>
          <w:color w:val="000000"/>
          <w:sz w:val="18"/>
          <w:szCs w:val="18"/>
        </w:rPr>
      </w:pPr>
      <w:r>
        <w:rPr>
          <w:rFonts w:ascii="Verdana" w:eastAsia="Times New Roman" w:hAnsi="Verdana"/>
          <w:color w:val="000000"/>
          <w:sz w:val="18"/>
          <w:szCs w:val="18"/>
        </w:rPr>
        <w:t xml:space="preserve">Als de metingen aantonen dat de buitenconcentratie 400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 overstijgt, kan rekening worden gehouden met het verschil tussen 400 </w:t>
      </w:r>
      <w:proofErr w:type="spellStart"/>
      <w:r>
        <w:rPr>
          <w:rFonts w:ascii="Verdana" w:eastAsia="Times New Roman" w:hAnsi="Verdana"/>
          <w:color w:val="000000"/>
          <w:sz w:val="18"/>
          <w:szCs w:val="18"/>
        </w:rPr>
        <w:t>ppm</w:t>
      </w:r>
      <w:proofErr w:type="spellEnd"/>
      <w:r>
        <w:rPr>
          <w:rFonts w:ascii="Verdana" w:eastAsia="Times New Roman" w:hAnsi="Verdana"/>
          <w:color w:val="000000"/>
          <w:sz w:val="18"/>
          <w:szCs w:val="18"/>
        </w:rPr>
        <w:t xml:space="preserve"> en de CO</w:t>
      </w:r>
      <w:r>
        <w:rPr>
          <w:rFonts w:ascii="Verdana" w:eastAsia="Times New Roman" w:hAnsi="Verdana"/>
          <w:color w:val="000000"/>
          <w:sz w:val="18"/>
          <w:szCs w:val="18"/>
          <w:vertAlign w:val="subscript"/>
        </w:rPr>
        <w:t>2</w:t>
      </w:r>
      <w:r>
        <w:rPr>
          <w:rFonts w:ascii="Verdana" w:eastAsia="Times New Roman" w:hAnsi="Verdana"/>
          <w:color w:val="000000"/>
          <w:sz w:val="18"/>
          <w:szCs w:val="18"/>
        </w:rPr>
        <w:t xml:space="preserve">-concentratie van de buitenlucht die </w:t>
      </w:r>
      <w:r>
        <w:rPr>
          <w:rFonts w:ascii="Verdana" w:eastAsia="Times New Roman" w:hAnsi="Verdana"/>
          <w:color w:val="000000"/>
          <w:sz w:val="18"/>
          <w:szCs w:val="18"/>
        </w:rPr>
        <w:t>men in de gesloten plaats die publiek toegankelijk is, binnenbrengt.</w:t>
      </w:r>
    </w:p>
    <w:p w:rsidR="00000000" w:rsidRDefault="00022C9C">
      <w:pPr>
        <w:divId w:val="480972970"/>
        <w:rPr>
          <w:rFonts w:ascii="Verdana" w:eastAsia="Times New Roman" w:hAnsi="Verdana"/>
          <w:color w:val="000000"/>
          <w:sz w:val="18"/>
          <w:szCs w:val="18"/>
        </w:rPr>
      </w:pPr>
      <w:r w:rsidRPr="00502DFD">
        <w:rPr>
          <w:rFonts w:ascii="Verdana" w:eastAsia="Times New Roman" w:hAnsi="Verdana"/>
          <w:color w:val="000000"/>
          <w:sz w:val="18"/>
          <w:szCs w:val="18"/>
          <w:highlight w:val="yellow"/>
        </w:rPr>
        <w:t>Bij KB kunnen aanvullende of alternatieve referentieniveaus worden bepaald. Het uitvoeringsbesluit moet ook nog aangeven wat de eisen en bepalingsmethoden van de luchtzuiverings- en venti</w:t>
      </w:r>
      <w:r w:rsidRPr="00502DFD">
        <w:rPr>
          <w:rFonts w:ascii="Verdana" w:eastAsia="Times New Roman" w:hAnsi="Verdana"/>
          <w:color w:val="000000"/>
          <w:sz w:val="18"/>
          <w:szCs w:val="18"/>
          <w:highlight w:val="yellow"/>
        </w:rPr>
        <w:t>latiesystemen zijn.</w:t>
      </w:r>
    </w:p>
    <w:p w:rsidR="00000000" w:rsidRDefault="00022C9C">
      <w:pPr>
        <w:divId w:val="199781007"/>
        <w:rPr>
          <w:rFonts w:ascii="Verdana" w:eastAsia="Times New Roman" w:hAnsi="Verdana"/>
          <w:b/>
          <w:bCs/>
          <w:color w:val="000000"/>
          <w:sz w:val="20"/>
          <w:szCs w:val="20"/>
        </w:rPr>
      </w:pPr>
      <w:r>
        <w:rPr>
          <w:rFonts w:ascii="Verdana" w:eastAsia="Times New Roman" w:hAnsi="Verdana"/>
          <w:color w:val="000000"/>
        </w:rPr>
        <w:br w:type="page"/>
      </w:r>
    </w:p>
    <w:p w:rsidR="00000000" w:rsidRDefault="00022C9C">
      <w:pPr>
        <w:pStyle w:val="Kop5"/>
        <w:divId w:val="1737849782"/>
        <w:rPr>
          <w:rFonts w:ascii="Verdana" w:eastAsia="Times New Roman" w:hAnsi="Verdana"/>
          <w:color w:val="000000"/>
        </w:rPr>
      </w:pPr>
      <w:r>
        <w:rPr>
          <w:rFonts w:ascii="Verdana" w:eastAsia="Times New Roman" w:hAnsi="Verdana"/>
          <w:color w:val="000000"/>
        </w:rPr>
        <w:lastRenderedPageBreak/>
        <w:t>Handhaving en sancties</w:t>
      </w:r>
    </w:p>
    <w:p w:rsidR="00000000" w:rsidRDefault="00022C9C">
      <w:pPr>
        <w:divId w:val="177160533"/>
        <w:rPr>
          <w:rFonts w:ascii="Verdana" w:eastAsia="Times New Roman" w:hAnsi="Verdana"/>
          <w:color w:val="000000"/>
          <w:sz w:val="18"/>
          <w:szCs w:val="18"/>
        </w:rPr>
      </w:pPr>
      <w:r>
        <w:rPr>
          <w:rFonts w:ascii="Verdana" w:eastAsia="Times New Roman" w:hAnsi="Verdana"/>
          <w:color w:val="000000"/>
          <w:sz w:val="18"/>
          <w:szCs w:val="18"/>
        </w:rPr>
        <w:t xml:space="preserve">De inspectiedienst van het DG Dier, Plant en Voeding van de FOD Volksgezondheid zal toezicht houden op de naleving van de regels. Voor inbreuken wordt voorzien in </w:t>
      </w:r>
      <w:proofErr w:type="spellStart"/>
      <w:r>
        <w:rPr>
          <w:rFonts w:ascii="Verdana" w:eastAsia="Times New Roman" w:hAnsi="Verdana"/>
          <w:color w:val="000000"/>
          <w:sz w:val="18"/>
          <w:szCs w:val="18"/>
        </w:rPr>
        <w:t>strafrechterlijke</w:t>
      </w:r>
      <w:proofErr w:type="spellEnd"/>
      <w:r>
        <w:rPr>
          <w:rFonts w:ascii="Verdana" w:eastAsia="Times New Roman" w:hAnsi="Verdana"/>
          <w:color w:val="000000"/>
          <w:sz w:val="18"/>
          <w:szCs w:val="18"/>
        </w:rPr>
        <w:t xml:space="preserve"> én administratieve sancties.</w:t>
      </w:r>
    </w:p>
    <w:p w:rsidR="00000000" w:rsidRDefault="00022C9C">
      <w:pPr>
        <w:pStyle w:val="Kop5"/>
        <w:divId w:val="712198619"/>
        <w:rPr>
          <w:rFonts w:ascii="Verdana" w:eastAsia="Times New Roman" w:hAnsi="Verdana"/>
          <w:color w:val="000000"/>
        </w:rPr>
      </w:pPr>
      <w:r>
        <w:rPr>
          <w:rFonts w:ascii="Verdana" w:eastAsia="Times New Roman" w:hAnsi="Verdana"/>
          <w:color w:val="000000"/>
        </w:rPr>
        <w:t>S</w:t>
      </w:r>
      <w:r>
        <w:rPr>
          <w:rFonts w:ascii="Verdana" w:eastAsia="Times New Roman" w:hAnsi="Verdana"/>
          <w:color w:val="000000"/>
        </w:rPr>
        <w:t>chendingen op gesloten, publiek toegankelijke arbeidsplaatsen</w:t>
      </w:r>
    </w:p>
    <w:p w:rsidR="00000000" w:rsidRDefault="00022C9C">
      <w:pPr>
        <w:divId w:val="341518266"/>
        <w:rPr>
          <w:rFonts w:ascii="Verdana" w:eastAsia="Times New Roman" w:hAnsi="Verdana"/>
          <w:color w:val="000000"/>
          <w:sz w:val="18"/>
          <w:szCs w:val="18"/>
        </w:rPr>
      </w:pPr>
      <w:r>
        <w:rPr>
          <w:rFonts w:ascii="Verdana" w:eastAsia="Times New Roman" w:hAnsi="Verdana"/>
          <w:color w:val="000000"/>
          <w:sz w:val="18"/>
          <w:szCs w:val="18"/>
        </w:rPr>
        <w:t xml:space="preserve">Schendingen op de gesloten arbeidsplaatsen die publiek toegankelijk zijn, zullen opgespoord, vastgesteld en bestraft worden volgens het Sociaal Strafwetboek. Hiervoor wordt </w:t>
      </w:r>
      <w:r>
        <w:rPr>
          <w:rFonts w:ascii="Verdana" w:eastAsia="Times New Roman" w:hAnsi="Verdana"/>
          <w:color w:val="000000"/>
          <w:sz w:val="18"/>
          <w:szCs w:val="18"/>
        </w:rPr>
        <w:t xml:space="preserve">in Boek 2 een nieuw hoofdstuk 13 ingevoerd: ‘Verbetering van de </w:t>
      </w:r>
      <w:proofErr w:type="spellStart"/>
      <w:r>
        <w:rPr>
          <w:rFonts w:ascii="Verdana" w:eastAsia="Times New Roman" w:hAnsi="Verdana"/>
          <w:color w:val="000000"/>
          <w:sz w:val="18"/>
          <w:szCs w:val="18"/>
        </w:rPr>
        <w:t>binnenluchtkwaliteit</w:t>
      </w:r>
      <w:proofErr w:type="spellEnd"/>
      <w:r>
        <w:rPr>
          <w:rFonts w:ascii="Verdana" w:eastAsia="Times New Roman" w:hAnsi="Verdana"/>
          <w:color w:val="000000"/>
          <w:sz w:val="18"/>
          <w:szCs w:val="18"/>
        </w:rPr>
        <w:t xml:space="preserve"> in gesloten arbeidsplaatsen die publiek toegankelijk zijn’.</w:t>
      </w:r>
    </w:p>
    <w:p w:rsidR="00000000" w:rsidRDefault="00022C9C">
      <w:pPr>
        <w:divId w:val="488982728"/>
        <w:rPr>
          <w:rFonts w:ascii="Verdana" w:eastAsia="Times New Roman" w:hAnsi="Verdana"/>
          <w:color w:val="000000"/>
          <w:sz w:val="18"/>
          <w:szCs w:val="18"/>
        </w:rPr>
      </w:pPr>
      <w:r>
        <w:rPr>
          <w:rFonts w:ascii="Verdana" w:eastAsia="Times New Roman" w:hAnsi="Verdana"/>
          <w:color w:val="000000"/>
          <w:sz w:val="18"/>
          <w:szCs w:val="18"/>
        </w:rPr>
        <w:t>De wetgever voorziet in een sanctie van niveau 3 voor eigenaars en uitbaters die hun verplichtingen niet nakome</w:t>
      </w:r>
      <w:r>
        <w:rPr>
          <w:rFonts w:ascii="Verdana" w:eastAsia="Times New Roman" w:hAnsi="Verdana"/>
          <w:color w:val="000000"/>
          <w:sz w:val="18"/>
          <w:szCs w:val="18"/>
        </w:rPr>
        <w:t xml:space="preserve">n. Dezelfde sanctie geldt voor een </w:t>
      </w:r>
      <w:proofErr w:type="spellStart"/>
      <w:r>
        <w:rPr>
          <w:rFonts w:ascii="Verdana" w:eastAsia="Times New Roman" w:hAnsi="Verdana"/>
          <w:color w:val="000000"/>
          <w:sz w:val="18"/>
          <w:szCs w:val="18"/>
        </w:rPr>
        <w:t>certificeerder</w:t>
      </w:r>
      <w:proofErr w:type="spellEnd"/>
      <w:r>
        <w:rPr>
          <w:rFonts w:ascii="Verdana" w:eastAsia="Times New Roman" w:hAnsi="Verdana"/>
          <w:color w:val="000000"/>
          <w:sz w:val="18"/>
          <w:szCs w:val="18"/>
        </w:rPr>
        <w:t xml:space="preserve"> die op de gesloten arbeidsplaatsen die publiek toegankelijk de certificerings- en labelverplichtingen overtreedt.</w:t>
      </w:r>
    </w:p>
    <w:p w:rsidR="00000000" w:rsidRDefault="00022C9C">
      <w:pPr>
        <w:divId w:val="394358268"/>
        <w:rPr>
          <w:rFonts w:ascii="Verdana" w:eastAsia="Times New Roman" w:hAnsi="Verdana"/>
          <w:color w:val="000000"/>
          <w:sz w:val="18"/>
          <w:szCs w:val="18"/>
        </w:rPr>
      </w:pPr>
      <w:r>
        <w:rPr>
          <w:rFonts w:ascii="Verdana" w:eastAsia="Times New Roman" w:hAnsi="Verdana"/>
          <w:b/>
          <w:bCs/>
          <w:color w:val="000000"/>
          <w:sz w:val="18"/>
          <w:szCs w:val="18"/>
        </w:rPr>
        <w:t>In werking: 11 december 2022</w:t>
      </w:r>
      <w:r>
        <w:rPr>
          <w:rFonts w:ascii="Verdana" w:eastAsia="Times New Roman" w:hAnsi="Verdana"/>
          <w:color w:val="000000"/>
          <w:sz w:val="18"/>
          <w:szCs w:val="18"/>
        </w:rPr>
        <w:t xml:space="preserve"> (10 dagen na publicatie in het Belgisch Staatsblad), mits </w:t>
      </w:r>
      <w:r>
        <w:rPr>
          <w:rFonts w:ascii="Verdana" w:eastAsia="Times New Roman" w:hAnsi="Verdana"/>
          <w:b/>
          <w:bCs/>
          <w:color w:val="000000"/>
          <w:sz w:val="18"/>
          <w:szCs w:val="18"/>
        </w:rPr>
        <w:t>uitzo</w:t>
      </w:r>
      <w:r>
        <w:rPr>
          <w:rFonts w:ascii="Verdana" w:eastAsia="Times New Roman" w:hAnsi="Verdana"/>
          <w:b/>
          <w:bCs/>
          <w:color w:val="000000"/>
          <w:sz w:val="18"/>
          <w:szCs w:val="18"/>
        </w:rPr>
        <w:t>nderingen</w:t>
      </w:r>
      <w:r>
        <w:rPr>
          <w:rFonts w:ascii="Verdana" w:eastAsia="Times New Roman" w:hAnsi="Verdana"/>
          <w:color w:val="000000"/>
          <w:sz w:val="18"/>
          <w:szCs w:val="18"/>
        </w:rPr>
        <w:t xml:space="preserve">. </w:t>
      </w:r>
      <w:r w:rsidRPr="00502DFD">
        <w:rPr>
          <w:rFonts w:ascii="Verdana" w:eastAsia="Times New Roman" w:hAnsi="Verdana"/>
          <w:color w:val="000000"/>
          <w:sz w:val="18"/>
          <w:szCs w:val="18"/>
          <w:highlight w:val="yellow"/>
        </w:rPr>
        <w:t>De bepalingen m.b.t. de luchtkwaliteitsmeter, de risicoanalyse en het actieplan treden pas in werking 12 maanden volgend op de inwerkingtreding van de wet. De bepalingen over de certificering treden in werking op 1 januari 2025. Bovendien kan ee</w:t>
      </w:r>
      <w:r w:rsidRPr="00502DFD">
        <w:rPr>
          <w:rFonts w:ascii="Verdana" w:eastAsia="Times New Roman" w:hAnsi="Verdana"/>
          <w:color w:val="000000"/>
          <w:sz w:val="18"/>
          <w:szCs w:val="18"/>
          <w:highlight w:val="yellow"/>
        </w:rPr>
        <w:t>n KB de inwerkingtreding van sommige bepalingen (o.a. m.b.t. de luchtkwaliteitsmeter, de risicoanalyse, het actieplan en het certificaat) verder uitstellen naar 1 januari 2026.</w:t>
      </w:r>
    </w:p>
    <w:p w:rsidR="00000000" w:rsidRDefault="00022C9C">
      <w:pPr>
        <w:divId w:val="199781007"/>
        <w:rPr>
          <w:rStyle w:val="source"/>
        </w:rPr>
      </w:pPr>
    </w:p>
    <w:p w:rsidR="00000000" w:rsidRDefault="00022C9C">
      <w:pPr>
        <w:divId w:val="199781007"/>
        <w:rPr>
          <w:rStyle w:val="source"/>
          <w:rFonts w:ascii="Verdana" w:eastAsia="Times New Roman" w:hAnsi="Verdana"/>
          <w:color w:val="000000"/>
          <w:sz w:val="18"/>
          <w:szCs w:val="18"/>
        </w:rPr>
      </w:pPr>
    </w:p>
    <w:p w:rsidR="00000000" w:rsidRDefault="00022C9C">
      <w:pPr>
        <w:divId w:val="199781007"/>
      </w:pPr>
      <w:r>
        <w:rPr>
          <w:rStyle w:val="source"/>
          <w:rFonts w:ascii="Verdana" w:eastAsia="Times New Roman" w:hAnsi="Verdana"/>
          <w:color w:val="000000"/>
          <w:sz w:val="18"/>
          <w:szCs w:val="18"/>
        </w:rPr>
        <w:t>Bron: </w:t>
      </w:r>
      <w:r>
        <w:rPr>
          <w:rStyle w:val="source"/>
          <w:rFonts w:ascii="Verdana" w:eastAsia="Times New Roman" w:hAnsi="Verdana"/>
          <w:color w:val="000000"/>
          <w:sz w:val="18"/>
          <w:szCs w:val="18"/>
        </w:rPr>
        <w:t> </w:t>
      </w:r>
      <w:hyperlink r:id="rId4" w:history="1">
        <w:r>
          <w:rPr>
            <w:rStyle w:val="Hyperlink"/>
            <w:rFonts w:ascii="Verdana" w:eastAsia="Times New Roman" w:hAnsi="Verdana"/>
            <w:sz w:val="18"/>
            <w:szCs w:val="18"/>
          </w:rPr>
          <w:t xml:space="preserve">6 NOVEMBER 2022. - Wet betreffende de verbetering van de </w:t>
        </w:r>
        <w:proofErr w:type="spellStart"/>
        <w:r>
          <w:rPr>
            <w:rStyle w:val="Hyperlink"/>
            <w:rFonts w:ascii="Verdana" w:eastAsia="Times New Roman" w:hAnsi="Verdana"/>
            <w:sz w:val="18"/>
            <w:szCs w:val="18"/>
          </w:rPr>
          <w:t>binnenluchtkwaliteit</w:t>
        </w:r>
        <w:proofErr w:type="spellEnd"/>
        <w:r>
          <w:rPr>
            <w:rStyle w:val="Hyperlink"/>
            <w:rFonts w:ascii="Verdana" w:eastAsia="Times New Roman" w:hAnsi="Verdana"/>
            <w:sz w:val="18"/>
            <w:szCs w:val="18"/>
          </w:rPr>
          <w:t xml:space="preserve"> in gesloten plaatsen die publiek toegankelijk </w:t>
        </w:r>
        <w:proofErr w:type="spellStart"/>
        <w:r>
          <w:rPr>
            <w:rStyle w:val="Hyperlink"/>
            <w:rFonts w:ascii="Verdana" w:eastAsia="Times New Roman" w:hAnsi="Verdana"/>
            <w:sz w:val="18"/>
            <w:szCs w:val="18"/>
          </w:rPr>
          <w:t>zijn,</w:t>
        </w:r>
      </w:hyperlink>
      <w:hyperlink r:id="rId5" w:anchor="top" w:tgtFrame="_blank" w:history="1">
        <w:r>
          <w:rPr>
            <w:rStyle w:val="Hyperlink"/>
            <w:rFonts w:ascii="Verdana" w:eastAsia="Times New Roman" w:hAnsi="Verdana"/>
            <w:sz w:val="18"/>
            <w:szCs w:val="18"/>
          </w:rPr>
          <w:t>BS</w:t>
        </w:r>
        <w:proofErr w:type="spellEnd"/>
        <w:r>
          <w:rPr>
            <w:rStyle w:val="Hyperlink"/>
            <w:rFonts w:ascii="Verdana" w:eastAsia="Times New Roman" w:hAnsi="Verdana"/>
            <w:sz w:val="18"/>
            <w:szCs w:val="18"/>
          </w:rPr>
          <w:t xml:space="preserve"> 1 december 2022, bl. 88761.</w:t>
        </w:r>
      </w:hyperlink>
      <w:r>
        <w:rPr>
          <w:rFonts w:ascii="Verdana" w:eastAsia="Times New Roman" w:hAnsi="Verdana"/>
          <w:color w:val="000000"/>
          <w:sz w:val="18"/>
          <w:szCs w:val="18"/>
        </w:rPr>
        <w:t xml:space="preserve"> </w:t>
      </w:r>
    </w:p>
    <w:p w:rsidR="00000000" w:rsidRDefault="00022C9C">
      <w:pPr>
        <w:divId w:val="2146115750"/>
        <w:rPr>
          <w:rFonts w:ascii="Verdana" w:eastAsia="Times New Roman" w:hAnsi="Verdana"/>
          <w:color w:val="000000"/>
          <w:sz w:val="18"/>
          <w:szCs w:val="18"/>
        </w:rPr>
      </w:pPr>
      <w:r>
        <w:rPr>
          <w:rFonts w:ascii="Verdana" w:eastAsia="Times New Roman" w:hAnsi="Verdana"/>
          <w:color w:val="000000"/>
          <w:sz w:val="18"/>
          <w:szCs w:val="18"/>
        </w:rPr>
        <w:t> </w:t>
      </w:r>
    </w:p>
    <w:p w:rsidR="00022C9C" w:rsidRDefault="00022C9C">
      <w:pPr>
        <w:rPr>
          <w:rFonts w:ascii="Verdana" w:eastAsia="Times New Roman" w:hAnsi="Verdana"/>
          <w:color w:val="000000"/>
          <w:sz w:val="18"/>
          <w:szCs w:val="18"/>
        </w:rPr>
      </w:pPr>
      <w:r>
        <w:rPr>
          <w:rFonts w:ascii="Verdana" w:eastAsia="Times New Roman" w:hAnsi="Verdana"/>
          <w:color w:val="000000"/>
          <w:sz w:val="18"/>
          <w:szCs w:val="18"/>
        </w:rPr>
        <w:t xml:space="preserve">© 2022 Wolters Kluwer - </w:t>
      </w:r>
      <w:hyperlink r:id="rId6" w:history="1">
        <w:proofErr w:type="spellStart"/>
        <w:r>
          <w:rPr>
            <w:rStyle w:val="Hyperlink"/>
            <w:rFonts w:ascii="Verdana" w:eastAsia="Times New Roman" w:hAnsi="Verdana"/>
            <w:sz w:val="18"/>
            <w:szCs w:val="18"/>
          </w:rPr>
          <w:t>sentral.kluwer.be</w:t>
        </w:r>
      </w:hyperlink>
      <w:r>
        <w:rPr>
          <w:rFonts w:ascii="Verdana" w:eastAsia="Times New Roman" w:hAnsi="Verdana"/>
          <w:color w:val="000000"/>
          <w:sz w:val="18"/>
          <w:szCs w:val="18"/>
        </w:rPr>
        <w:t>Datum</w:t>
      </w:r>
      <w:proofErr w:type="spellEnd"/>
      <w:r>
        <w:rPr>
          <w:rFonts w:ascii="Verdana" w:eastAsia="Times New Roman" w:hAnsi="Verdana"/>
          <w:color w:val="000000"/>
          <w:sz w:val="18"/>
          <w:szCs w:val="18"/>
        </w:rPr>
        <w:t xml:space="preserve"> : 7/12/2022</w:t>
      </w:r>
    </w:p>
    <w:sectPr w:rsidR="00022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A1E9C"/>
    <w:rsid w:val="00022C9C"/>
    <w:rsid w:val="00502DFD"/>
    <w:rsid w:val="008A1E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192DE-68C9-461F-8397-FF5F724A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3">
    <w:name w:val="heading 3"/>
    <w:basedOn w:val="Standaard"/>
    <w:link w:val="Kop3Char"/>
    <w:uiPriority w:val="9"/>
    <w:qFormat/>
    <w:pPr>
      <w:spacing w:before="100" w:beforeAutospacing="1" w:after="100" w:afterAutospacing="1"/>
      <w:outlineLvl w:val="2"/>
    </w:pPr>
    <w:rPr>
      <w:b/>
      <w:bCs/>
      <w:sz w:val="27"/>
      <w:szCs w:val="27"/>
    </w:rPr>
  </w:style>
  <w:style w:type="paragraph" w:styleId="Kop4">
    <w:name w:val="heading 4"/>
    <w:basedOn w:val="Standaard"/>
    <w:link w:val="Kop4Char"/>
    <w:uiPriority w:val="9"/>
    <w:qFormat/>
    <w:pPr>
      <w:spacing w:before="100" w:beforeAutospacing="1" w:after="100" w:afterAutospacing="1"/>
      <w:outlineLvl w:val="3"/>
    </w:pPr>
    <w:rPr>
      <w:b/>
      <w:bCs/>
    </w:rPr>
  </w:style>
  <w:style w:type="paragraph" w:styleId="Kop5">
    <w:name w:val="heading 5"/>
    <w:basedOn w:val="Standaard"/>
    <w:link w:val="Kop5Char"/>
    <w:uiPriority w:val="9"/>
    <w:qFormat/>
    <w:pPr>
      <w:spacing w:before="100" w:beforeAutospacing="1" w:after="100" w:afterAutospacing="1"/>
      <w:outlineLvl w:val="4"/>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3Char">
    <w:name w:val="Kop 3 Char"/>
    <w:basedOn w:val="Standaardalinea-lettertype"/>
    <w:link w:val="Kop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Kop4Char">
    <w:name w:val="Kop 4 Char"/>
    <w:basedOn w:val="Standaardalinea-lettertype"/>
    <w:link w:val="Kop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Kop5Char">
    <w:name w:val="Kop 5 Char"/>
    <w:basedOn w:val="Standaardalinea-lettertype"/>
    <w:link w:val="Kop5"/>
    <w:uiPriority w:val="9"/>
    <w:semiHidden/>
    <w:locked/>
    <w:rPr>
      <w:rFonts w:asciiTheme="majorHAnsi" w:eastAsiaTheme="majorEastAsia" w:hAnsiTheme="majorHAnsi" w:cstheme="majorBidi" w:hint="default"/>
      <w:color w:val="2E74B5" w:themeColor="accent1" w:themeShade="BF"/>
      <w:sz w:val="24"/>
      <w:szCs w:val="24"/>
    </w:rPr>
  </w:style>
  <w:style w:type="paragraph" w:styleId="HTML-voorafopgemaakt">
    <w:name w:val="HTML Preformatted"/>
    <w:basedOn w:val="Standaard"/>
    <w:link w:val="HTML-voorafopgemaaktChar"/>
    <w:uiPriority w:val="99"/>
    <w:semiHidden/>
    <w:unhideWhenUsed/>
    <w:pPr>
      <w:pBdr>
        <w:top w:val="single" w:sz="6" w:space="4" w:color="CCCCCC"/>
        <w:left w:val="single" w:sz="6" w:space="4" w:color="CCCCCC"/>
        <w:bottom w:val="single" w:sz="6" w:space="4" w:color="CCCCCC"/>
        <w:right w:val="single" w:sz="6" w:space="4"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pPr>
    <w:rPr>
      <w:rFonts w:ascii="Courier New" w:hAnsi="Courier New" w:cs="Courier New"/>
      <w:color w:val="333333"/>
      <w:sz w:val="15"/>
      <w:szCs w:val="15"/>
    </w:rPr>
  </w:style>
  <w:style w:type="character" w:customStyle="1" w:styleId="HTML-voorafopgemaaktChar">
    <w:name w:val="HTML - vooraf opgemaakt Char"/>
    <w:basedOn w:val="Standaardalinea-lettertype"/>
    <w:link w:val="HTML-voorafopgemaakt"/>
    <w:uiPriority w:val="99"/>
    <w:semiHidden/>
    <w:locked/>
    <w:rPr>
      <w:rFonts w:ascii="Consolas" w:eastAsiaTheme="minorEastAsia" w:hAnsi="Consolas" w:hint="default"/>
    </w:rPr>
  </w:style>
  <w:style w:type="paragraph" w:customStyle="1" w:styleId="qlink">
    <w:name w:val="qlink"/>
    <w:basedOn w:val="Standaard"/>
    <w:pPr>
      <w:spacing w:before="100" w:beforeAutospacing="1" w:after="100" w:afterAutospacing="1"/>
      <w:ind w:right="225"/>
    </w:pPr>
  </w:style>
  <w:style w:type="paragraph" w:customStyle="1" w:styleId="comment-navigation">
    <w:name w:val="comment-navigation"/>
    <w:basedOn w:val="Standaard"/>
    <w:pPr>
      <w:spacing w:before="100" w:beforeAutospacing="1" w:after="100" w:afterAutospacing="1"/>
    </w:pPr>
    <w:rPr>
      <w:vanish/>
    </w:rPr>
  </w:style>
  <w:style w:type="paragraph" w:customStyle="1" w:styleId="labelnllabsbooksorder">
    <w:name w:val="label_nl_labsbooksorder"/>
    <w:basedOn w:val="Standaard"/>
    <w:pPr>
      <w:spacing w:before="100" w:beforeAutospacing="1" w:after="100" w:afterAutospacing="1"/>
    </w:pPr>
    <w:rPr>
      <w:vanish/>
    </w:rPr>
  </w:style>
  <w:style w:type="paragraph" w:customStyle="1" w:styleId="qlinklabel">
    <w:name w:val="qlinklabel"/>
    <w:basedOn w:val="Standaard"/>
    <w:pPr>
      <w:spacing w:before="100" w:beforeAutospacing="1" w:after="72"/>
    </w:pPr>
    <w:rPr>
      <w:b/>
      <w:bCs/>
      <w:sz w:val="31"/>
      <w:szCs w:val="31"/>
      <w:u w:val="single"/>
    </w:rPr>
  </w:style>
  <w:style w:type="paragraph" w:customStyle="1" w:styleId="comments-title">
    <w:name w:val="comments-title"/>
    <w:basedOn w:val="Standaard"/>
    <w:pPr>
      <w:spacing w:before="100" w:beforeAutospacing="1" w:after="72"/>
    </w:pPr>
    <w:rPr>
      <w:b/>
      <w:bCs/>
      <w:sz w:val="31"/>
      <w:szCs w:val="31"/>
      <w:u w:val="single"/>
    </w:rPr>
  </w:style>
  <w:style w:type="paragraph" w:customStyle="1" w:styleId="document-annotations">
    <w:name w:val="document-annotations"/>
    <w:basedOn w:val="Standaard"/>
    <w:pPr>
      <w:spacing w:before="100" w:beforeAutospacing="1" w:after="72"/>
    </w:pPr>
    <w:rPr>
      <w:b/>
      <w:bCs/>
      <w:sz w:val="31"/>
      <w:szCs w:val="31"/>
      <w:u w:val="single"/>
    </w:rPr>
  </w:style>
  <w:style w:type="paragraph" w:customStyle="1" w:styleId="document-title">
    <w:name w:val="document-title"/>
    <w:basedOn w:val="Standaard"/>
    <w:pPr>
      <w:spacing w:before="100" w:beforeAutospacing="1" w:after="72"/>
    </w:pPr>
    <w:rPr>
      <w:b/>
      <w:bCs/>
      <w:sz w:val="31"/>
      <w:szCs w:val="31"/>
      <w:u w:val="single"/>
    </w:rPr>
  </w:style>
  <w:style w:type="paragraph" w:customStyle="1" w:styleId="row">
    <w:name w:val="row"/>
    <w:basedOn w:val="Standaard"/>
    <w:pPr>
      <w:spacing w:before="100" w:beforeAutospacing="1" w:after="72"/>
    </w:pPr>
    <w:rPr>
      <w:b/>
      <w:bCs/>
      <w:sz w:val="31"/>
      <w:szCs w:val="31"/>
    </w:rPr>
  </w:style>
  <w:style w:type="paragraph" w:customStyle="1" w:styleId="relateddocuments">
    <w:name w:val="relateddocuments"/>
    <w:basedOn w:val="Standaard"/>
    <w:pPr>
      <w:pBdr>
        <w:top w:val="single" w:sz="12" w:space="23" w:color="E3E3E3"/>
        <w:bottom w:val="single" w:sz="12" w:space="23" w:color="E3E3E3"/>
      </w:pBdr>
      <w:spacing w:before="456" w:after="456"/>
    </w:pPr>
  </w:style>
  <w:style w:type="paragraph" w:customStyle="1" w:styleId="printmetadata">
    <w:name w:val="printmetadata"/>
    <w:basedOn w:val="Standaard"/>
    <w:pPr>
      <w:pBdr>
        <w:top w:val="single" w:sz="12" w:space="23" w:color="E3E3E3"/>
        <w:bottom w:val="single" w:sz="12" w:space="23" w:color="E3E3E3"/>
      </w:pBdr>
      <w:spacing w:before="456" w:after="456"/>
    </w:pPr>
  </w:style>
  <w:style w:type="paragraph" w:customStyle="1" w:styleId="bordering-related-doc-section">
    <w:name w:val="bordering-related-doc-section"/>
    <w:basedOn w:val="Standaard"/>
    <w:pPr>
      <w:pBdr>
        <w:top w:val="single" w:sz="12" w:space="23" w:color="E3E3E3"/>
      </w:pBdr>
      <w:spacing w:before="456"/>
    </w:pPr>
  </w:style>
  <w:style w:type="paragraph" w:customStyle="1" w:styleId="notes">
    <w:name w:val="notes"/>
    <w:basedOn w:val="Standaard"/>
    <w:pPr>
      <w:spacing w:before="100" w:beforeAutospacing="1" w:after="100" w:afterAutospacing="1"/>
    </w:pPr>
  </w:style>
  <w:style w:type="paragraph" w:customStyle="1" w:styleId="btn">
    <w:name w:val="btn"/>
    <w:basedOn w:val="Standaard"/>
    <w:pPr>
      <w:spacing w:before="100" w:beforeAutospacing="1" w:after="100" w:afterAutospacing="1"/>
    </w:pPr>
  </w:style>
  <w:style w:type="paragraph" w:customStyle="1" w:styleId="qlinks">
    <w:name w:val="qlinks"/>
    <w:basedOn w:val="Standaard"/>
    <w:pPr>
      <w:spacing w:before="100" w:beforeAutospacing="1" w:after="100" w:afterAutospacing="1"/>
    </w:pPr>
  </w:style>
  <w:style w:type="paragraph" w:customStyle="1" w:styleId="comblok">
    <w:name w:val="comblok"/>
    <w:basedOn w:val="Standaard"/>
    <w:pPr>
      <w:spacing w:before="100" w:beforeAutospacing="1" w:after="100" w:afterAutospacing="1"/>
    </w:pPr>
  </w:style>
  <w:style w:type="paragraph" w:customStyle="1" w:styleId="com">
    <w:name w:val="com"/>
    <w:basedOn w:val="Standaard"/>
    <w:pPr>
      <w:spacing w:before="100" w:beforeAutospacing="1" w:after="100" w:afterAutospacing="1"/>
    </w:pPr>
  </w:style>
  <w:style w:type="paragraph" w:customStyle="1" w:styleId="popa">
    <w:name w:val="popa"/>
    <w:basedOn w:val="Standaard"/>
    <w:pPr>
      <w:spacing w:before="100" w:beforeAutospacing="1" w:after="100" w:afterAutospacing="1"/>
    </w:pPr>
    <w:rPr>
      <w:vanish/>
    </w:rPr>
  </w:style>
  <w:style w:type="paragraph" w:customStyle="1" w:styleId="notes1">
    <w:name w:val="notes1"/>
    <w:basedOn w:val="Standaard"/>
    <w:pPr>
      <w:spacing w:before="100" w:beforeAutospacing="1" w:after="100" w:afterAutospacing="1"/>
    </w:pPr>
    <w:rPr>
      <w:sz w:val="14"/>
      <w:szCs w:val="14"/>
    </w:rPr>
  </w:style>
  <w:style w:type="paragraph" w:customStyle="1" w:styleId="btn1">
    <w:name w:val="btn1"/>
    <w:basedOn w:val="Standaard"/>
    <w:pPr>
      <w:spacing w:before="100" w:beforeAutospacing="1" w:after="100" w:afterAutospacing="1"/>
    </w:pPr>
    <w:rPr>
      <w:vanish/>
    </w:rPr>
  </w:style>
  <w:style w:type="paragraph" w:customStyle="1" w:styleId="qlinks1">
    <w:name w:val="qlinks1"/>
    <w:basedOn w:val="Standaard"/>
    <w:pPr>
      <w:spacing w:before="100" w:beforeAutospacing="1"/>
    </w:pPr>
  </w:style>
  <w:style w:type="paragraph" w:customStyle="1" w:styleId="comblok1">
    <w:name w:val="comblok1"/>
    <w:basedOn w:val="Standaard"/>
    <w:pPr>
      <w:spacing w:before="240" w:after="100" w:afterAutospacing="1"/>
    </w:pPr>
  </w:style>
  <w:style w:type="paragraph" w:customStyle="1" w:styleId="com1">
    <w:name w:val="com1"/>
    <w:basedOn w:val="Standaard"/>
    <w:pPr>
      <w:spacing w:before="100" w:beforeAutospacing="1" w:after="360"/>
    </w:pPr>
  </w:style>
  <w:style w:type="character" w:customStyle="1" w:styleId="source">
    <w:name w:val="source"/>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81007">
      <w:marLeft w:val="0"/>
      <w:marRight w:val="0"/>
      <w:marTop w:val="0"/>
      <w:marBottom w:val="0"/>
      <w:divBdr>
        <w:top w:val="none" w:sz="0" w:space="0" w:color="auto"/>
        <w:left w:val="none" w:sz="0" w:space="0" w:color="auto"/>
        <w:bottom w:val="none" w:sz="0" w:space="0" w:color="auto"/>
        <w:right w:val="none" w:sz="0" w:space="0" w:color="auto"/>
      </w:divBdr>
      <w:divsChild>
        <w:div w:id="1407609234">
          <w:marLeft w:val="0"/>
          <w:marRight w:val="0"/>
          <w:marTop w:val="0"/>
          <w:marBottom w:val="0"/>
          <w:divBdr>
            <w:top w:val="none" w:sz="0" w:space="0" w:color="auto"/>
            <w:left w:val="none" w:sz="0" w:space="0" w:color="auto"/>
            <w:bottom w:val="none" w:sz="0" w:space="0" w:color="auto"/>
            <w:right w:val="none" w:sz="0" w:space="0" w:color="auto"/>
          </w:divBdr>
          <w:divsChild>
            <w:div w:id="1739934544">
              <w:marLeft w:val="0"/>
              <w:marRight w:val="0"/>
              <w:marTop w:val="0"/>
              <w:marBottom w:val="0"/>
              <w:divBdr>
                <w:top w:val="none" w:sz="0" w:space="0" w:color="auto"/>
                <w:left w:val="none" w:sz="0" w:space="0" w:color="auto"/>
                <w:bottom w:val="none" w:sz="0" w:space="0" w:color="auto"/>
                <w:right w:val="none" w:sz="0" w:space="0" w:color="auto"/>
              </w:divBdr>
            </w:div>
          </w:divsChild>
        </w:div>
        <w:div w:id="1886597648">
          <w:marLeft w:val="0"/>
          <w:marRight w:val="0"/>
          <w:marTop w:val="0"/>
          <w:marBottom w:val="0"/>
          <w:divBdr>
            <w:top w:val="none" w:sz="0" w:space="0" w:color="auto"/>
            <w:left w:val="none" w:sz="0" w:space="0" w:color="auto"/>
            <w:bottom w:val="none" w:sz="0" w:space="0" w:color="auto"/>
            <w:right w:val="none" w:sz="0" w:space="0" w:color="auto"/>
          </w:divBdr>
          <w:divsChild>
            <w:div w:id="602736043">
              <w:marLeft w:val="0"/>
              <w:marRight w:val="0"/>
              <w:marTop w:val="0"/>
              <w:marBottom w:val="0"/>
              <w:divBdr>
                <w:top w:val="none" w:sz="0" w:space="0" w:color="auto"/>
                <w:left w:val="none" w:sz="0" w:space="0" w:color="auto"/>
                <w:bottom w:val="none" w:sz="0" w:space="0" w:color="auto"/>
                <w:right w:val="none" w:sz="0" w:space="0" w:color="auto"/>
              </w:divBdr>
            </w:div>
          </w:divsChild>
        </w:div>
        <w:div w:id="1226572892">
          <w:marLeft w:val="0"/>
          <w:marRight w:val="0"/>
          <w:marTop w:val="0"/>
          <w:marBottom w:val="0"/>
          <w:divBdr>
            <w:top w:val="none" w:sz="0" w:space="0" w:color="auto"/>
            <w:left w:val="none" w:sz="0" w:space="0" w:color="auto"/>
            <w:bottom w:val="none" w:sz="0" w:space="0" w:color="auto"/>
            <w:right w:val="none" w:sz="0" w:space="0" w:color="auto"/>
          </w:divBdr>
          <w:divsChild>
            <w:div w:id="1974364170">
              <w:marLeft w:val="0"/>
              <w:marRight w:val="0"/>
              <w:marTop w:val="0"/>
              <w:marBottom w:val="0"/>
              <w:divBdr>
                <w:top w:val="none" w:sz="0" w:space="0" w:color="auto"/>
                <w:left w:val="none" w:sz="0" w:space="0" w:color="auto"/>
                <w:bottom w:val="none" w:sz="0" w:space="0" w:color="auto"/>
                <w:right w:val="none" w:sz="0" w:space="0" w:color="auto"/>
              </w:divBdr>
              <w:divsChild>
                <w:div w:id="514150882">
                  <w:marLeft w:val="0"/>
                  <w:marRight w:val="0"/>
                  <w:marTop w:val="0"/>
                  <w:marBottom w:val="0"/>
                  <w:divBdr>
                    <w:top w:val="none" w:sz="0" w:space="0" w:color="auto"/>
                    <w:left w:val="none" w:sz="0" w:space="0" w:color="auto"/>
                    <w:bottom w:val="none" w:sz="0" w:space="0" w:color="auto"/>
                    <w:right w:val="none" w:sz="0" w:space="0" w:color="auto"/>
                  </w:divBdr>
                </w:div>
                <w:div w:id="1550535945">
                  <w:marLeft w:val="0"/>
                  <w:marRight w:val="0"/>
                  <w:marTop w:val="0"/>
                  <w:marBottom w:val="0"/>
                  <w:divBdr>
                    <w:top w:val="none" w:sz="0" w:space="0" w:color="auto"/>
                    <w:left w:val="none" w:sz="0" w:space="0" w:color="auto"/>
                    <w:bottom w:val="none" w:sz="0" w:space="0" w:color="auto"/>
                    <w:right w:val="none" w:sz="0" w:space="0" w:color="auto"/>
                  </w:divBdr>
                </w:div>
                <w:div w:id="1862157920">
                  <w:marLeft w:val="0"/>
                  <w:marRight w:val="0"/>
                  <w:marTop w:val="0"/>
                  <w:marBottom w:val="0"/>
                  <w:divBdr>
                    <w:top w:val="none" w:sz="0" w:space="0" w:color="auto"/>
                    <w:left w:val="none" w:sz="0" w:space="0" w:color="auto"/>
                    <w:bottom w:val="none" w:sz="0" w:space="0" w:color="auto"/>
                    <w:right w:val="none" w:sz="0" w:space="0" w:color="auto"/>
                  </w:divBdr>
                </w:div>
                <w:div w:id="1791313917">
                  <w:marLeft w:val="0"/>
                  <w:marRight w:val="0"/>
                  <w:marTop w:val="0"/>
                  <w:marBottom w:val="0"/>
                  <w:divBdr>
                    <w:top w:val="none" w:sz="0" w:space="0" w:color="auto"/>
                    <w:left w:val="none" w:sz="0" w:space="0" w:color="auto"/>
                    <w:bottom w:val="none" w:sz="0" w:space="0" w:color="auto"/>
                    <w:right w:val="none" w:sz="0" w:space="0" w:color="auto"/>
                  </w:divBdr>
                </w:div>
                <w:div w:id="1551309014">
                  <w:marLeft w:val="0"/>
                  <w:marRight w:val="0"/>
                  <w:marTop w:val="0"/>
                  <w:marBottom w:val="0"/>
                  <w:divBdr>
                    <w:top w:val="none" w:sz="0" w:space="0" w:color="auto"/>
                    <w:left w:val="none" w:sz="0" w:space="0" w:color="auto"/>
                    <w:bottom w:val="none" w:sz="0" w:space="0" w:color="auto"/>
                    <w:right w:val="none" w:sz="0" w:space="0" w:color="auto"/>
                  </w:divBdr>
                </w:div>
                <w:div w:id="1676490899">
                  <w:marLeft w:val="0"/>
                  <w:marRight w:val="0"/>
                  <w:marTop w:val="0"/>
                  <w:marBottom w:val="0"/>
                  <w:divBdr>
                    <w:top w:val="none" w:sz="0" w:space="0" w:color="auto"/>
                    <w:left w:val="none" w:sz="0" w:space="0" w:color="auto"/>
                    <w:bottom w:val="none" w:sz="0" w:space="0" w:color="auto"/>
                    <w:right w:val="none" w:sz="0" w:space="0" w:color="auto"/>
                  </w:divBdr>
                </w:div>
                <w:div w:id="2044674245">
                  <w:marLeft w:val="0"/>
                  <w:marRight w:val="0"/>
                  <w:marTop w:val="0"/>
                  <w:marBottom w:val="0"/>
                  <w:divBdr>
                    <w:top w:val="none" w:sz="0" w:space="0" w:color="auto"/>
                    <w:left w:val="none" w:sz="0" w:space="0" w:color="auto"/>
                    <w:bottom w:val="none" w:sz="0" w:space="0" w:color="auto"/>
                    <w:right w:val="none" w:sz="0" w:space="0" w:color="auto"/>
                  </w:divBdr>
                </w:div>
              </w:divsChild>
            </w:div>
            <w:div w:id="397561900">
              <w:marLeft w:val="0"/>
              <w:marRight w:val="0"/>
              <w:marTop w:val="0"/>
              <w:marBottom w:val="0"/>
              <w:divBdr>
                <w:top w:val="none" w:sz="0" w:space="0" w:color="auto"/>
                <w:left w:val="none" w:sz="0" w:space="0" w:color="auto"/>
                <w:bottom w:val="none" w:sz="0" w:space="0" w:color="auto"/>
                <w:right w:val="none" w:sz="0" w:space="0" w:color="auto"/>
              </w:divBdr>
              <w:divsChild>
                <w:div w:id="16361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2642">
          <w:marLeft w:val="0"/>
          <w:marRight w:val="0"/>
          <w:marTop w:val="0"/>
          <w:marBottom w:val="0"/>
          <w:divBdr>
            <w:top w:val="none" w:sz="0" w:space="0" w:color="auto"/>
            <w:left w:val="none" w:sz="0" w:space="0" w:color="auto"/>
            <w:bottom w:val="none" w:sz="0" w:space="0" w:color="auto"/>
            <w:right w:val="none" w:sz="0" w:space="0" w:color="auto"/>
          </w:divBdr>
          <w:divsChild>
            <w:div w:id="324942092">
              <w:marLeft w:val="0"/>
              <w:marRight w:val="0"/>
              <w:marTop w:val="0"/>
              <w:marBottom w:val="0"/>
              <w:divBdr>
                <w:top w:val="none" w:sz="0" w:space="0" w:color="auto"/>
                <w:left w:val="none" w:sz="0" w:space="0" w:color="auto"/>
                <w:bottom w:val="none" w:sz="0" w:space="0" w:color="auto"/>
                <w:right w:val="none" w:sz="0" w:space="0" w:color="auto"/>
              </w:divBdr>
              <w:divsChild>
                <w:div w:id="1442139635">
                  <w:marLeft w:val="0"/>
                  <w:marRight w:val="0"/>
                  <w:marTop w:val="0"/>
                  <w:marBottom w:val="0"/>
                  <w:divBdr>
                    <w:top w:val="none" w:sz="0" w:space="0" w:color="auto"/>
                    <w:left w:val="none" w:sz="0" w:space="0" w:color="auto"/>
                    <w:bottom w:val="none" w:sz="0" w:space="0" w:color="auto"/>
                    <w:right w:val="none" w:sz="0" w:space="0" w:color="auto"/>
                  </w:divBdr>
                </w:div>
                <w:div w:id="96681679">
                  <w:marLeft w:val="0"/>
                  <w:marRight w:val="0"/>
                  <w:marTop w:val="0"/>
                  <w:marBottom w:val="0"/>
                  <w:divBdr>
                    <w:top w:val="none" w:sz="0" w:space="0" w:color="auto"/>
                    <w:left w:val="none" w:sz="0" w:space="0" w:color="auto"/>
                    <w:bottom w:val="none" w:sz="0" w:space="0" w:color="auto"/>
                    <w:right w:val="none" w:sz="0" w:space="0" w:color="auto"/>
                  </w:divBdr>
                </w:div>
                <w:div w:id="563025928">
                  <w:marLeft w:val="0"/>
                  <w:marRight w:val="0"/>
                  <w:marTop w:val="0"/>
                  <w:marBottom w:val="0"/>
                  <w:divBdr>
                    <w:top w:val="none" w:sz="0" w:space="0" w:color="auto"/>
                    <w:left w:val="none" w:sz="0" w:space="0" w:color="auto"/>
                    <w:bottom w:val="none" w:sz="0" w:space="0" w:color="auto"/>
                    <w:right w:val="none" w:sz="0" w:space="0" w:color="auto"/>
                  </w:divBdr>
                </w:div>
                <w:div w:id="268510715">
                  <w:marLeft w:val="0"/>
                  <w:marRight w:val="0"/>
                  <w:marTop w:val="0"/>
                  <w:marBottom w:val="0"/>
                  <w:divBdr>
                    <w:top w:val="none" w:sz="0" w:space="0" w:color="auto"/>
                    <w:left w:val="none" w:sz="0" w:space="0" w:color="auto"/>
                    <w:bottom w:val="none" w:sz="0" w:space="0" w:color="auto"/>
                    <w:right w:val="none" w:sz="0" w:space="0" w:color="auto"/>
                  </w:divBdr>
                </w:div>
              </w:divsChild>
            </w:div>
            <w:div w:id="1260336106">
              <w:marLeft w:val="0"/>
              <w:marRight w:val="0"/>
              <w:marTop w:val="0"/>
              <w:marBottom w:val="0"/>
              <w:divBdr>
                <w:top w:val="none" w:sz="0" w:space="0" w:color="auto"/>
                <w:left w:val="none" w:sz="0" w:space="0" w:color="auto"/>
                <w:bottom w:val="none" w:sz="0" w:space="0" w:color="auto"/>
                <w:right w:val="none" w:sz="0" w:space="0" w:color="auto"/>
              </w:divBdr>
              <w:divsChild>
                <w:div w:id="4809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49782">
          <w:marLeft w:val="0"/>
          <w:marRight w:val="0"/>
          <w:marTop w:val="0"/>
          <w:marBottom w:val="0"/>
          <w:divBdr>
            <w:top w:val="none" w:sz="0" w:space="0" w:color="auto"/>
            <w:left w:val="none" w:sz="0" w:space="0" w:color="auto"/>
            <w:bottom w:val="none" w:sz="0" w:space="0" w:color="auto"/>
            <w:right w:val="none" w:sz="0" w:space="0" w:color="auto"/>
          </w:divBdr>
          <w:divsChild>
            <w:div w:id="40179966">
              <w:marLeft w:val="0"/>
              <w:marRight w:val="0"/>
              <w:marTop w:val="0"/>
              <w:marBottom w:val="0"/>
              <w:divBdr>
                <w:top w:val="none" w:sz="0" w:space="0" w:color="auto"/>
                <w:left w:val="none" w:sz="0" w:space="0" w:color="auto"/>
                <w:bottom w:val="none" w:sz="0" w:space="0" w:color="auto"/>
                <w:right w:val="none" w:sz="0" w:space="0" w:color="auto"/>
              </w:divBdr>
              <w:divsChild>
                <w:div w:id="1771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8619">
          <w:marLeft w:val="0"/>
          <w:marRight w:val="0"/>
          <w:marTop w:val="0"/>
          <w:marBottom w:val="0"/>
          <w:divBdr>
            <w:top w:val="none" w:sz="0" w:space="0" w:color="auto"/>
            <w:left w:val="none" w:sz="0" w:space="0" w:color="auto"/>
            <w:bottom w:val="none" w:sz="0" w:space="0" w:color="auto"/>
            <w:right w:val="none" w:sz="0" w:space="0" w:color="auto"/>
          </w:divBdr>
          <w:divsChild>
            <w:div w:id="1329794480">
              <w:marLeft w:val="0"/>
              <w:marRight w:val="0"/>
              <w:marTop w:val="0"/>
              <w:marBottom w:val="0"/>
              <w:divBdr>
                <w:top w:val="none" w:sz="0" w:space="0" w:color="auto"/>
                <w:left w:val="none" w:sz="0" w:space="0" w:color="auto"/>
                <w:bottom w:val="none" w:sz="0" w:space="0" w:color="auto"/>
                <w:right w:val="none" w:sz="0" w:space="0" w:color="auto"/>
              </w:divBdr>
              <w:divsChild>
                <w:div w:id="341518266">
                  <w:marLeft w:val="0"/>
                  <w:marRight w:val="0"/>
                  <w:marTop w:val="0"/>
                  <w:marBottom w:val="0"/>
                  <w:divBdr>
                    <w:top w:val="none" w:sz="0" w:space="0" w:color="auto"/>
                    <w:left w:val="none" w:sz="0" w:space="0" w:color="auto"/>
                    <w:bottom w:val="none" w:sz="0" w:space="0" w:color="auto"/>
                    <w:right w:val="none" w:sz="0" w:space="0" w:color="auto"/>
                  </w:divBdr>
                </w:div>
                <w:div w:id="488982728">
                  <w:marLeft w:val="0"/>
                  <w:marRight w:val="0"/>
                  <w:marTop w:val="0"/>
                  <w:marBottom w:val="0"/>
                  <w:divBdr>
                    <w:top w:val="none" w:sz="0" w:space="0" w:color="auto"/>
                    <w:left w:val="none" w:sz="0" w:space="0" w:color="auto"/>
                    <w:bottom w:val="none" w:sz="0" w:space="0" w:color="auto"/>
                    <w:right w:val="none" w:sz="0" w:space="0" w:color="auto"/>
                  </w:divBdr>
                </w:div>
              </w:divsChild>
            </w:div>
            <w:div w:id="2082291657">
              <w:marLeft w:val="0"/>
              <w:marRight w:val="0"/>
              <w:marTop w:val="0"/>
              <w:marBottom w:val="0"/>
              <w:divBdr>
                <w:top w:val="none" w:sz="0" w:space="0" w:color="auto"/>
                <w:left w:val="none" w:sz="0" w:space="0" w:color="auto"/>
                <w:bottom w:val="none" w:sz="0" w:space="0" w:color="auto"/>
                <w:right w:val="none" w:sz="0" w:space="0" w:color="auto"/>
              </w:divBdr>
              <w:divsChild>
                <w:div w:id="39435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5750">
          <w:marLeft w:val="0"/>
          <w:marRight w:val="0"/>
          <w:marTop w:val="0"/>
          <w:marBottom w:val="0"/>
          <w:divBdr>
            <w:top w:val="none" w:sz="0" w:space="0" w:color="auto"/>
            <w:left w:val="none" w:sz="0" w:space="0" w:color="auto"/>
            <w:bottom w:val="none" w:sz="0" w:space="0" w:color="auto"/>
            <w:right w:val="none" w:sz="0" w:space="0" w:color="auto"/>
          </w:divBdr>
        </w:div>
      </w:divsChild>
    </w:div>
    <w:div w:id="399257883">
      <w:marLeft w:val="0"/>
      <w:marRight w:val="0"/>
      <w:marTop w:val="0"/>
      <w:marBottom w:val="0"/>
      <w:divBdr>
        <w:top w:val="none" w:sz="0" w:space="0" w:color="auto"/>
        <w:left w:val="none" w:sz="0" w:space="0" w:color="auto"/>
        <w:bottom w:val="none" w:sz="0" w:space="0" w:color="auto"/>
        <w:right w:val="none" w:sz="0" w:space="0" w:color="auto"/>
      </w:divBdr>
    </w:div>
    <w:div w:id="910506231">
      <w:marLeft w:val="0"/>
      <w:marRight w:val="0"/>
      <w:marTop w:val="0"/>
      <w:marBottom w:val="0"/>
      <w:divBdr>
        <w:top w:val="none" w:sz="0" w:space="0" w:color="auto"/>
        <w:left w:val="none" w:sz="0" w:space="0" w:color="auto"/>
        <w:bottom w:val="none" w:sz="0" w:space="0" w:color="auto"/>
        <w:right w:val="none" w:sz="0" w:space="0" w:color="auto"/>
      </w:divBdr>
      <w:divsChild>
        <w:div w:id="1264189805">
          <w:marLeft w:val="0"/>
          <w:marRight w:val="0"/>
          <w:marTop w:val="0"/>
          <w:marBottom w:val="0"/>
          <w:divBdr>
            <w:top w:val="none" w:sz="0" w:space="0" w:color="auto"/>
            <w:left w:val="none" w:sz="0" w:space="0" w:color="auto"/>
            <w:bottom w:val="none" w:sz="0" w:space="0" w:color="auto"/>
            <w:right w:val="none" w:sz="0" w:space="0" w:color="auto"/>
          </w:divBdr>
          <w:divsChild>
            <w:div w:id="17788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tral.kluwer.be" TargetMode="External"/><Relationship Id="rId5" Type="http://schemas.openxmlformats.org/officeDocument/2006/relationships/hyperlink" Target="https://www.ejustice.just.fgov.be/cgi/article_body.pl?language=nl&amp;caller=summary&amp;pub_date=2022-12-01&amp;numac=2022034199%0D%0A" TargetMode="External"/><Relationship Id="rId4" Type="http://schemas.openxmlformats.org/officeDocument/2006/relationships/hyperlink" Target="https://sentral.kluwer.be/secure/documentview.aspx?id=ln248136&amp;bron=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843</Words>
  <Characters>4637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Kluwer België | Sentral | Print</vt:lpstr>
    </vt:vector>
  </TitlesOfParts>
  <Company/>
  <LinksUpToDate>false</LinksUpToDate>
  <CharactersWithSpaces>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Kluwer België | Sentral | Print</dc:title>
  <dc:subject/>
  <dc:creator>Microsoft-account</dc:creator>
  <cp:keywords/>
  <dc:description/>
  <cp:lastModifiedBy>Microsoft-account</cp:lastModifiedBy>
  <cp:revision>3</cp:revision>
  <dcterms:created xsi:type="dcterms:W3CDTF">2022-12-12T12:38:00Z</dcterms:created>
  <dcterms:modified xsi:type="dcterms:W3CDTF">2022-12-12T12:41:00Z</dcterms:modified>
</cp:coreProperties>
</file>